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 w:line="240" w:lineRule="auto"/>
        <w:jc w:val="left"/>
      </w:pPr>
      <w:r>
        <w:rPr>
          <w:rFonts w:ascii="Arial" w:hAnsi="Arial" w:eastAsia="Arial"/>
          <w:b/>
          <w:color w:val="1F6D8C"/>
          <w:sz w:val="17"/>
        </w:rPr>
        <w:t>ENGLISH</w:t>
      </w:r>
    </w:p>
    <w:p>
      <w:pPr>
        <w:spacing w:before="0" w:after="60" w:line="240" w:lineRule="auto"/>
      </w:pPr>
      <w:r>
        <w:rPr>
          <w:rFonts w:ascii="Arial" w:hAnsi="Arial" w:eastAsia="Arial"/>
          <w:b/>
          <w:color w:val="0B4F6C"/>
          <w:sz w:val="44"/>
        </w:rPr>
        <w:t>Non-Confidential Pharmaceutical Project Brief</w:t>
      </w:r>
    </w:p>
    <w:p>
      <w:pPr>
        <w:spacing w:before="0" w:after="80" w:line="269" w:lineRule="auto"/>
      </w:pPr>
      <w:r>
        <w:rPr>
          <w:rFonts w:ascii="Arial" w:hAnsi="Arial" w:eastAsia="Arial"/>
          <w:b w:val="0"/>
          <w:color w:val="5E6D75"/>
          <w:sz w:val="22"/>
        </w:rPr>
        <w:t>A first-contact template for CMO, CDMO and technology-transfer discussions</w:t>
      </w:r>
    </w:p>
    <w:p>
      <w:pPr>
        <w:spacing w:before="0" w:after="200" w:line="240" w:lineRule="auto"/>
      </w:pPr>
      <w:r>
        <w:rPr>
          <w:rFonts w:ascii="Arial" w:hAnsi="Arial" w:eastAsia="Arial"/>
          <w:b w:val="0"/>
          <w:color w:val="5E6D75"/>
          <w:sz w:val="18"/>
        </w:rPr>
        <w:t>Version 1.0 · 21 July 2026</w:t>
      </w:r>
    </w:p>
    <w:p>
      <w:pPr>
        <w:spacing w:before="0" w:after="140" w:line="300" w:lineRule="auto"/>
      </w:pPr>
      <w:r>
        <w:rPr>
          <w:rFonts w:ascii="Arial" w:hAnsi="Arial" w:eastAsia="Arial"/>
          <w:b w:val="0"/>
          <w:color w:val="182B36"/>
          <w:sz w:val="21"/>
        </w:rPr>
        <w:t>Complete only the high-level fields that can be shared safely. This document supports a preliminary assessment; it is not a quotation, product commitment, regulatory opinion or project acceptance.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FFF7E6" w:val="clear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6" w:color="D2A84A"/>
              <w:left w:val="single" w:sz="6" w:color="D2A84A"/>
              <w:bottom w:val="single" w:sz="6" w:color="D2A84A"/>
              <w:right w:val="single" w:sz="6" w:color="D2A84A"/>
            </w:tcBorders>
          </w:tcPr>
          <w:p>
            <w:pPr>
              <w:spacing w:before="0" w:after="40" w:line="276" w:lineRule="auto"/>
            </w:pPr>
            <w:r>
              <w:rPr>
                <w:rFonts w:ascii="Arial" w:hAnsi="Arial" w:eastAsia="Arial"/>
                <w:b/>
                <w:color w:val="7A5A00"/>
                <w:sz w:val="20"/>
              </w:rPr>
              <w:t>Information boundary for this first contact</w:t>
            </w:r>
          </w:p>
          <w:p>
            <w:pPr>
              <w:spacing w:before="0" w:after="0" w:line="276" w:lineRule="auto"/>
            </w:pPr>
            <w:r>
              <w:rPr>
                <w:rFonts w:ascii="Arial" w:hAnsi="Arial" w:eastAsia="Arial"/>
                <w:b w:val="0"/>
                <w:color w:val="182B36"/>
                <w:sz w:val="19"/>
              </w:rPr>
              <w:t>Do not include patient data, personal health information, prescriptions, complete formulations, detailed processes, unpublished dossiers, audit records, trade secrets, confidential commercial terms, or other controlled materials. If there is a plausible fit, the parties can agree an NDA and controlled request list.</w:t>
            </w:r>
          </w:p>
        </w:tc>
      </w:tr>
    </w:tbl>
    <w:p>
      <w:pPr>
        <w:spacing w:before="180" w:after="80" w:line="240" w:lineRule="auto"/>
      </w:pPr>
      <w:r>
        <w:rPr>
          <w:rFonts w:ascii="Arial" w:hAnsi="Arial" w:eastAsia="Arial"/>
          <w:b/>
          <w:color w:val="0B4F6C"/>
          <w:sz w:val="24"/>
        </w:rPr>
        <w:t>1. Organization and contact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951"/>
        <w:gridCol w:w="6408"/>
      </w:tblGrid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Arial"/>
                <w:b/>
                <w:color w:val="0B4F6C"/>
                <w:sz w:val="19"/>
              </w:rPr>
              <w:t>Legal entity / organization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Arial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Arial"/>
                <w:b/>
                <w:color w:val="0B4F6C"/>
                <w:sz w:val="19"/>
              </w:rPr>
              <w:t>Country / region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Arial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Arial"/>
                <w:b/>
                <w:color w:val="0B4F6C"/>
                <w:sz w:val="19"/>
              </w:rPr>
              <w:t>Business role in the project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Arial"/>
                <w:b w:val="0"/>
                <w:color w:val="5E6D75"/>
                <w:sz w:val="18"/>
              </w:rPr>
              <w:t>e.g., MAH, product owner, distributor, development partner</w:t>
              <w:br/>
            </w:r>
            <w:r>
              <w:rPr>
                <w:rFonts w:ascii="Arial" w:hAnsi="Arial" w:eastAsia="Arial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Arial"/>
                <w:b/>
                <w:color w:val="0B4F6C"/>
                <w:sz w:val="19"/>
              </w:rPr>
              <w:t>Primary contact and title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Arial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Arial"/>
                <w:b/>
                <w:color w:val="0B4F6C"/>
                <w:sz w:val="19"/>
              </w:rPr>
              <w:t>Business email / website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Arial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</w:tbl>
    <w:p>
      <w:pPr>
        <w:spacing w:before="180" w:after="80" w:line="240" w:lineRule="auto"/>
      </w:pPr>
      <w:r>
        <w:rPr>
          <w:rFonts w:ascii="Arial" w:hAnsi="Arial" w:eastAsia="Arial"/>
          <w:b/>
          <w:color w:val="0B4F6C"/>
          <w:sz w:val="24"/>
        </w:rPr>
        <w:t>2. Public project outline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951"/>
        <w:gridCol w:w="6408"/>
      </w:tblGrid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Arial"/>
                <w:b/>
                <w:color w:val="0B4F6C"/>
                <w:sz w:val="19"/>
              </w:rPr>
              <w:t>High-level product or opportunity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Arial"/>
                <w:b w:val="0"/>
                <w:color w:val="5E6D75"/>
                <w:sz w:val="18"/>
              </w:rPr>
              <w:t>Non-confidential description only</w:t>
              <w:br/>
            </w:r>
            <w:r>
              <w:rPr>
                <w:rFonts w:ascii="Arial" w:hAnsi="Arial" w:eastAsia="Arial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Arial"/>
                <w:b/>
                <w:color w:val="0B4F6C"/>
                <w:sz w:val="19"/>
              </w:rPr>
              <w:t>Dosage form / presentation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Arial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Arial"/>
                <w:b/>
                <w:color w:val="0B4F6C"/>
                <w:sz w:val="19"/>
              </w:rPr>
              <w:t>Target market(s)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Arial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Arial"/>
                <w:b/>
                <w:color w:val="0B4F6C"/>
                <w:sz w:val="19"/>
              </w:rPr>
              <w:t>Project objective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Arial"/>
                <w:b w:val="0"/>
                <w:color w:val="5E6D75"/>
                <w:sz w:val="18"/>
              </w:rPr>
              <w:t>What decision or outcome is sought?</w:t>
              <w:br/>
            </w:r>
            <w:r>
              <w:rPr>
                <w:rFonts w:ascii="Arial" w:hAnsi="Arial" w:eastAsia="Arial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Arial"/>
                <w:b/>
                <w:color w:val="0B4F6C"/>
                <w:sz w:val="19"/>
              </w:rPr>
              <w:t>Indicative decision or timing window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Arial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</w:tbl>
    <w:p>
      <w:pPr>
        <w:spacing w:before="180" w:after="80" w:line="240" w:lineRule="auto"/>
      </w:pPr>
      <w:r>
        <w:rPr>
          <w:rFonts w:ascii="Arial" w:hAnsi="Arial" w:eastAsia="Arial"/>
          <w:b/>
          <w:color w:val="0B4F6C"/>
          <w:sz w:val="24"/>
        </w:rPr>
        <w:t>3. Current readiness and requested next step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951"/>
        <w:gridCol w:w="6408"/>
      </w:tblGrid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Arial"/>
                <w:b/>
                <w:color w:val="0B4F6C"/>
                <w:sz w:val="19"/>
              </w:rPr>
              <w:t>Public / non-confidential materials currently available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Arial"/>
                <w:b w:val="0"/>
                <w:color w:val="5E6D75"/>
                <w:sz w:val="18"/>
              </w:rPr>
              <w:t>e.g., public profile, product overview, market context</w:t>
              <w:br/>
            </w:r>
            <w:r>
              <w:rPr>
                <w:rFonts w:ascii="Arial" w:hAnsi="Arial" w:eastAsia="Arial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Arial"/>
                <w:b/>
                <w:color w:val="0B4F6C"/>
                <w:sz w:val="19"/>
              </w:rPr>
              <w:t>Known constraints or decision milestones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Arial"/>
                <w:b w:val="0"/>
                <w:color w:val="5E6D75"/>
                <w:sz w:val="18"/>
              </w:rPr>
              <w:t>Non-confidential only</w:t>
              <w:br/>
            </w:r>
            <w:r>
              <w:rPr>
                <w:rFonts w:ascii="Arial" w:hAnsi="Arial" w:eastAsia="Arial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Arial"/>
                <w:b/>
                <w:color w:val="0B4F6C"/>
                <w:sz w:val="19"/>
              </w:rPr>
              <w:t>Requested next step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Arial"/>
                <w:b w:val="0"/>
                <w:color w:val="5E6D75"/>
                <w:sz w:val="18"/>
              </w:rPr>
              <w:t>e.g., preliminary fit discussion, NDA route, technical workstream</w:t>
              <w:br/>
            </w:r>
            <w:r>
              <w:rPr>
                <w:rFonts w:ascii="Arial" w:hAnsi="Arial" w:eastAsia="Arial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</w:tbl>
    <w:p>
      <w:pPr>
        <w:spacing w:before="160" w:after="40" w:line="240" w:lineRule="auto"/>
      </w:pPr>
      <w:r>
        <w:rPr>
          <w:rFonts w:ascii="Arial" w:hAnsi="Arial" w:eastAsia="Arial"/>
          <w:b/>
          <w:color w:val="0B4F6C"/>
          <w:sz w:val="20"/>
        </w:rPr>
        <w:t>Cooperation model under consideration</w:t>
      </w:r>
    </w:p>
    <w:p>
      <w:pPr>
        <w:spacing w:before="0" w:after="100" w:line="288" w:lineRule="auto"/>
      </w:pPr>
      <w:r>
        <w:rPr>
          <w:rFonts w:ascii="Arial" w:hAnsi="Arial" w:eastAsia="Arial"/>
          <w:b w:val="0"/>
          <w:color w:val="182B36"/>
          <w:sz w:val="20"/>
        </w:rPr>
        <w:t>☐ CMO   ☐ CDMO   ☐ Technology transfer   ☐ Product / registration cooperation   ☐ Other: ____________</w:t>
      </w:r>
    </w:p>
    <w:p>
      <w:pPr>
        <w:spacing w:before="160" w:after="40" w:line="240" w:lineRule="auto"/>
      </w:pPr>
      <w:r>
        <w:rPr>
          <w:rFonts w:ascii="Arial" w:hAnsi="Arial" w:eastAsia="Arial"/>
          <w:b/>
          <w:color w:val="0B4F6C"/>
          <w:sz w:val="20"/>
        </w:rPr>
        <w:t>Current project stage</w:t>
      </w:r>
    </w:p>
    <w:p>
      <w:pPr>
        <w:spacing w:before="0" w:after="100" w:line="288" w:lineRule="auto"/>
      </w:pPr>
      <w:r>
        <w:rPr>
          <w:rFonts w:ascii="Arial" w:hAnsi="Arial" w:eastAsia="Arial"/>
          <w:b w:val="0"/>
          <w:color w:val="182B36"/>
          <w:sz w:val="20"/>
        </w:rPr>
        <w:t>☐ Early evaluation   ☐ Development   ☐ Scale-up   ☐ Registration   ☐ Commercial supply   ☐ Transfer planning</w:t>
      </w:r>
    </w:p>
    <w:p>
      <w:pPr>
        <w:spacing w:before="180" w:after="80" w:line="240" w:lineRule="auto"/>
      </w:pPr>
      <w:r>
        <w:rPr>
          <w:rFonts w:ascii="Arial" w:hAnsi="Arial" w:eastAsia="Arial"/>
          <w:b/>
          <w:color w:val="0B4F6C"/>
          <w:sz w:val="24"/>
        </w:rPr>
        <w:t>Desired response from the preliminary assessment</w:t>
      </w:r>
    </w:p>
    <w:p>
      <w:pPr>
        <w:spacing w:before="0" w:after="160" w:line="288" w:lineRule="auto"/>
      </w:pPr>
      <w:r>
        <w:rPr>
          <w:rFonts w:ascii="Arial" w:hAnsi="Arial" w:eastAsia="Arial"/>
          <w:b w:val="0"/>
          <w:color w:val="80909A"/>
          <w:sz w:val="20"/>
        </w:rPr>
        <w:t>________________________________________________________________________________________</w:t>
        <w:br/>
        <w:t>________________________________________________________________________________________</w:t>
        <w:br/>
        <w:t>________________________________________________________________________________________</w:t>
        <w:br/>
      </w:r>
    </w:p>
    <w:p>
      <w:pPr>
        <w:spacing w:before="180" w:after="80" w:line="240" w:lineRule="auto"/>
      </w:pPr>
      <w:r>
        <w:rPr>
          <w:rFonts w:ascii="Arial" w:hAnsi="Arial" w:eastAsia="Arial"/>
          <w:b/>
          <w:color w:val="0B4F6C"/>
          <w:sz w:val="24"/>
        </w:rPr>
        <w:t>Submitter confirmation</w:t>
      </w:r>
    </w:p>
    <w:p>
      <w:pPr>
        <w:spacing w:before="0" w:after="100" w:line="288" w:lineRule="auto"/>
      </w:pPr>
      <w:r>
        <w:rPr>
          <w:rFonts w:ascii="Arial" w:hAnsi="Arial" w:eastAsia="Arial"/>
          <w:b w:val="0"/>
          <w:color w:val="182B36"/>
          <w:sz w:val="20"/>
        </w:rPr>
        <w:t>I confirm that the information provided here is non-confidential to the best of my knowledge and does not contain patient data, personal health information, trade secrets or controlled technical materials.</w:t>
      </w:r>
    </w:p>
    <w:p>
      <w:pPr>
        <w:spacing w:before="0" w:after="180" w:line="288" w:lineRule="auto"/>
      </w:pPr>
      <w:r>
        <w:rPr>
          <w:rFonts w:ascii="Arial" w:hAnsi="Arial" w:eastAsia="Arial"/>
          <w:b/>
          <w:color w:val="0B4F6C"/>
          <w:sz w:val="20"/>
        </w:rPr>
        <w:t>Name / title / date:  __________________________________________________________</w:t>
      </w:r>
    </w:p>
    <w:p>
      <w:pPr>
        <w:spacing w:before="80" w:after="20" w:line="276" w:lineRule="auto"/>
      </w:pPr>
      <w:r>
        <w:rPr>
          <w:rFonts w:ascii="Arial" w:hAnsi="Arial" w:eastAsia="Arial"/>
          <w:b w:val="0"/>
          <w:color w:val="5E6D75"/>
          <w:sz w:val="19"/>
        </w:rPr>
        <w:t>For a preliminary assessment, submit through the website inquiry form or send this brief to:</w:t>
      </w:r>
    </w:p>
    <w:p>
      <w:pPr>
        <w:spacing w:before="0" w:after="0" w:line="240" w:lineRule="auto"/>
      </w:pPr>
      <w:r>
        <w:rPr>
          <w:rFonts w:ascii="Arial" w:hAnsi="Arial" w:eastAsia="Arial"/>
          <w:b/>
          <w:color w:val="0B4F6C"/>
          <w:sz w:val="20"/>
        </w:rPr>
        <w:t>lyq@cjrf.com  |  stevenyiqingli.com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440" w:bottom="1037" w:left="1440" w:header="475" w:footer="46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center"/>
    </w:pPr>
    <w:r>
      <w:rPr>
        <w:rFonts w:ascii="Arial" w:hAnsi="Arial" w:eastAsia="Arial"/>
        <w:b w:val="0"/>
        <w:color w:val="5E6D75"/>
        <w:sz w:val="16"/>
      </w:rPr>
      <w:t>Non-Confidential Pharmaceutical Project Brief · Version 1.0 · 21 July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  <w:jc w:val="left"/>
      <w:pBdr>
        <w:bottom w:val="single" w:sz="6" w:space="5" w:color="1F6D8C"/>
      </w:pBdr>
    </w:pPr>
    <w:r>
      <w:rPr>
        <w:rFonts w:ascii="Arial" w:hAnsi="Arial" w:eastAsia="Arial"/>
        <w:b/>
        <w:color w:val="1F6D8C"/>
        <w:sz w:val="17"/>
      </w:rPr>
      <w:t>STEVEN LI  |  GLOBAL PHARMACEUTICAL PARTNERSHIP WORKSPACE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rial" w:hAnsi="Arial" w:eastAsia="Arial"/>
      <w:color w:val="182B36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Non-Confidential Pharmaceutical Project Brief</dc:title>
  <dc:subject>A first-contact template for CMO, CDMO and technology-transfer discussions</dc:subject>
  <dc:creator>Steven Li (李一青)</dc:creator>
  <cp:keywords/>
  <dc:description>Public non-confidential project-brief template.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